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rPr>
        <w:t>国家计委关于印发《招标代理收费管理办法》的通知(计价格[2002]1980号)</w:t>
      </w:r>
    </w:p>
    <w:p>
      <w:pPr>
        <w:keepNext w:val="0"/>
        <w:keepLines w:val="0"/>
        <w:widowControl/>
        <w:suppressLineNumbers w:val="0"/>
        <w:jc w:val="center"/>
        <w:rPr>
          <w:rFonts w:hint="eastAsia" w:ascii="微软雅黑" w:hAnsi="微软雅黑" w:eastAsia="微软雅黑" w:cs="微软雅黑"/>
          <w:b/>
          <w:i w:val="0"/>
          <w:caps w:val="0"/>
          <w:color w:val="333333"/>
          <w:spacing w:val="0"/>
          <w:kern w:val="0"/>
          <w:sz w:val="21"/>
          <w:szCs w:val="21"/>
          <w:lang w:val="en-US" w:eastAsia="zh-CN" w:bidi="ar"/>
        </w:rPr>
      </w:pPr>
      <w:r>
        <w:rPr>
          <w:rFonts w:hint="eastAsia" w:ascii="微软雅黑" w:hAnsi="微软雅黑" w:eastAsia="微软雅黑" w:cs="微软雅黑"/>
          <w:b/>
          <w:i w:val="0"/>
          <w:caps w:val="0"/>
          <w:color w:val="333333"/>
          <w:spacing w:val="0"/>
          <w:kern w:val="0"/>
          <w:sz w:val="21"/>
          <w:szCs w:val="21"/>
          <w:lang w:val="en-US" w:eastAsia="zh-CN" w:bidi="ar"/>
        </w:rPr>
        <w:t>计价格[2002]1980号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i w:val="0"/>
          <w:caps w:val="0"/>
          <w:color w:val="666666"/>
          <w:spacing w:val="0"/>
          <w:sz w:val="21"/>
          <w:szCs w:val="21"/>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firstLineChars="200"/>
        <w:jc w:val="left"/>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lang w:val="en-US" w:eastAsia="zh-CN"/>
        </w:rPr>
        <w:t>第一条　为规范招标代理服务收费行为，维护招标人、投标人和招标代理机构的合法权益 , 根据《中华人民共和国价格法》、《中华人民共和国招标投标法》及有关法律、行政法规 , 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第二条　中华人民共和国境内发生的各类招标代理服务的收费行为 , 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第三条　本办法所称招标代理服务收费 , 是指招标代理机构接受招标人委托 , 从事编制招标文件(包括编制资格预审文件和标底) , 审查投标人资格 , 组织投标人踏勘现场并答疑 , 组织开标、评标、定标 , 以及提供招标前期咨询、协调合同的签订等业务所收取的费用。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第四条　招标代理机构从事招标代理业务并收取服务费用的 , 必须符合《中华人民共和国招标投标法》第十三条、第十四条规定的条件 , 具备独立法人资格和相应资质。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第五条　招标代理机构应当在招标人委托的范围内办理招标事宜 , 遵守国家法律、法规及政策规定 , 符合招标人的技术、质量要求。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第六条　招标代理服务应当遵循公开、公正、平等、自愿、有偿的原则。严格禁止任何单位和个人为招标人强制指定招标代理机构或强制具有自行招标资格的单位接受代理并收取费用。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第七条　招标代理服务收费按照招标代理业务性质分为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(一)各类土木工程、建筑工程、设备安装、管道线路敷设、装饰装修等建设以及附带服务的工程招标代理服务收费。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(二)原材料、产品、设备和固态、液态或气态物体和电力等货物及其附带服务的货物招标代理服务收费。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(三)工程勘察、设计、咨询、监理 , 矿业权、土地使用权出让、转让和保险等工程和货物以外的服务招标代理服务收费。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第八条　招标代理服务收费实行政府指导价。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第九条　招标代理服务收费采用差额定率累进计费方式。收费标准按本办法附件规定执行 , 上下浮动幅度不超过 20 %。具体收费额由招标代理机构和招标委托人在规定的收费标准和浮动幅度内协商确定。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出售招标文件可以收取编制成本费 , 具体定价办法由省、自治区、直辖市价格主管部门按照不以营利为目的的原则制定。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第十条　招标代理服务实行“谁委托谁付费”。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工程招标委托人支付的招标代理服务费 , 可计入工程前期费用。货物招标和服务招标委托人支付的招标代理服务费 , 按照财政部门规定列支。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第十一条　招标代理机构按规定收取代理费用和出售招标文件后 , 不得再要求招标委托人无偿提供食宿、交通等或收取其他费用。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第十二条　招标代理业务中有超出本办法第三条规定的要求的 , 招标代理机构可与招标委托人就所增加的工作量 , 另行协商确定服务费用。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第十三条　招标代理服务收费纠纷 , 依据《中华人民共和国价格法》、《中华人民共和国合同法》及其他有关法律、法规处理。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第十四条　各级政府有关部门或者其授权、委托的单位 , 按照国务院关于招标投标管理职能分工规定履行监督职能 , 要求招标投标当事人履行审批、备案及其他手续的 , 一律不得收费。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违反前款规定 , 擅自设立收费项目、制定收费标准以及收取管理性费用的 , 由政府价格主管部门予以处罚。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第十五条　招标代理机构违反本办法规定的 , 由政府价格主管部门依据《中华人民共和国价格法》和《价格违法行为行政处罚规定》予以查处。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第十六条　本办法由国家计委负责解释。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第十七条　本办法自 2003 年 1 月 1 日起 执行。国家计委及有关部门 , 各省、自治区、直辖市价格主管部门制定的相关规定 , 凡与本办法相抵触的 , 自本办法生效之日起废止。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center"/>
        <w:rPr>
          <w:rFonts w:ascii="Arial" w:hAnsi="Arial" w:cs="Arial"/>
          <w:b w:val="0"/>
          <w:i w:val="0"/>
          <w:caps w:val="0"/>
          <w:color w:val="666666"/>
          <w:spacing w:val="0"/>
          <w:sz w:val="21"/>
          <w:szCs w:val="21"/>
        </w:rPr>
      </w:pPr>
      <w:r>
        <w:rPr>
          <w:rFonts w:hint="default" w:ascii="Arial" w:hAnsi="Arial" w:cs="Arial"/>
          <w:b w:val="0"/>
          <w:i w:val="0"/>
          <w:caps w:val="0"/>
          <w:color w:val="666666"/>
          <w:spacing w:val="0"/>
          <w:sz w:val="21"/>
          <w:szCs w:val="21"/>
        </w:rPr>
        <w:drawing>
          <wp:inline distT="0" distB="0" distL="114300" distR="114300">
            <wp:extent cx="5572125" cy="2895600"/>
            <wp:effectExtent l="0" t="0" r="571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72125" cy="2895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注： 1 、招标代理服务收费按差额定率累进法计算。例如：某工程招标代理业务中标金额为 6000 万元，计算招标代理服务收费额如下：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100 万元 ×l.0 %= 1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( 500 - 100 )万元 ×</w:t>
      </w:r>
      <w:r>
        <w:rPr>
          <w:rFonts w:hint="eastAsia" w:ascii="宋体" w:hAnsi="宋体" w:eastAsia="宋体" w:cs="宋体"/>
          <w:b w:val="0"/>
          <w:i w:val="0"/>
          <w:caps w:val="0"/>
          <w:color w:val="666666"/>
          <w:spacing w:val="0"/>
          <w:sz w:val="21"/>
          <w:szCs w:val="21"/>
          <w:lang w:val="en-US" w:eastAsia="zh-CN"/>
        </w:rPr>
        <w:t>0</w:t>
      </w:r>
      <w:r>
        <w:rPr>
          <w:rFonts w:hint="eastAsia" w:ascii="宋体" w:hAnsi="宋体" w:eastAsia="宋体" w:cs="宋体"/>
          <w:b w:val="0"/>
          <w:i w:val="0"/>
          <w:caps w:val="0"/>
          <w:color w:val="666666"/>
          <w:spacing w:val="0"/>
          <w:sz w:val="21"/>
          <w:szCs w:val="21"/>
        </w:rPr>
        <w:t>.7 %= 2.8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( 1000-500 )万元 ×</w:t>
      </w:r>
      <w:r>
        <w:rPr>
          <w:rFonts w:hint="eastAsia" w:ascii="宋体" w:hAnsi="宋体" w:eastAsia="宋体" w:cs="宋体"/>
          <w:b w:val="0"/>
          <w:i w:val="0"/>
          <w:caps w:val="0"/>
          <w:color w:val="666666"/>
          <w:spacing w:val="0"/>
          <w:sz w:val="21"/>
          <w:szCs w:val="21"/>
          <w:lang w:val="en-US" w:eastAsia="zh-CN"/>
        </w:rPr>
        <w:t>0</w:t>
      </w:r>
      <w:r>
        <w:rPr>
          <w:rFonts w:hint="eastAsia" w:ascii="宋体" w:hAnsi="宋体" w:eastAsia="宋体" w:cs="宋体"/>
          <w:b w:val="0"/>
          <w:i w:val="0"/>
          <w:caps w:val="0"/>
          <w:color w:val="666666"/>
          <w:spacing w:val="0"/>
          <w:sz w:val="21"/>
          <w:szCs w:val="21"/>
        </w:rPr>
        <w:t>.55 %= 2.75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( 5000 - 1000 )万元 ×</w:t>
      </w:r>
      <w:r>
        <w:rPr>
          <w:rFonts w:hint="eastAsia" w:ascii="宋体" w:hAnsi="宋体" w:eastAsia="宋体" w:cs="宋体"/>
          <w:b w:val="0"/>
          <w:i w:val="0"/>
          <w:caps w:val="0"/>
          <w:color w:val="666666"/>
          <w:spacing w:val="0"/>
          <w:sz w:val="21"/>
          <w:szCs w:val="21"/>
          <w:lang w:val="en-US" w:eastAsia="zh-CN"/>
        </w:rPr>
        <w:t>0</w:t>
      </w:r>
      <w:r>
        <w:rPr>
          <w:rFonts w:hint="eastAsia" w:ascii="宋体" w:hAnsi="宋体" w:eastAsia="宋体" w:cs="宋体"/>
          <w:b w:val="0"/>
          <w:i w:val="0"/>
          <w:caps w:val="0"/>
          <w:color w:val="666666"/>
          <w:spacing w:val="0"/>
          <w:sz w:val="21"/>
          <w:szCs w:val="21"/>
        </w:rPr>
        <w:t>.35 %= 14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( 6000 - 5000 )万元 ×</w:t>
      </w:r>
      <w:r>
        <w:rPr>
          <w:rFonts w:hint="eastAsia" w:ascii="宋体" w:hAnsi="宋体" w:eastAsia="宋体" w:cs="宋体"/>
          <w:b w:val="0"/>
          <w:i w:val="0"/>
          <w:caps w:val="0"/>
          <w:color w:val="666666"/>
          <w:spacing w:val="0"/>
          <w:sz w:val="21"/>
          <w:szCs w:val="21"/>
          <w:lang w:val="en-US" w:eastAsia="zh-CN"/>
        </w:rPr>
        <w:t>0</w:t>
      </w:r>
      <w:r>
        <w:rPr>
          <w:rFonts w:hint="eastAsia" w:ascii="宋体" w:hAnsi="宋体" w:eastAsia="宋体" w:cs="宋体"/>
          <w:b w:val="0"/>
          <w:i w:val="0"/>
          <w:caps w:val="0"/>
          <w:color w:val="666666"/>
          <w:spacing w:val="0"/>
          <w:sz w:val="21"/>
          <w:szCs w:val="21"/>
        </w:rPr>
        <w:t>.2 %= 2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合计收费= 1 + 2.8 + 2.75 + 14 + 2 = 22.55 (万元)</w: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keepNext w:val="0"/>
        <w:keepLines w:val="0"/>
        <w:widowControl/>
        <w:suppressLineNumbers w:val="0"/>
        <w:pBdr>
          <w:top w:val="none" w:color="auto" w:sz="0" w:space="0"/>
          <w:left w:val="none" w:color="auto" w:sz="0" w:space="0"/>
          <w:bottom w:val="dashed" w:color="E1E3DF" w:sz="4" w:space="0"/>
          <w:right w:val="none" w:color="auto" w:sz="0" w:space="0"/>
        </w:pBdr>
        <w:spacing w:before="180" w:beforeAutospacing="0" w:after="0" w:afterAutospacing="0" w:line="960" w:lineRule="atLeast"/>
        <w:ind w:left="0" w:right="0" w:firstLine="0"/>
        <w:jc w:val="center"/>
        <w:rPr>
          <w:rFonts w:ascii="微软雅黑" w:hAnsi="微软雅黑" w:eastAsia="微软雅黑" w:cs="微软雅黑"/>
          <w:b/>
          <w:i w:val="0"/>
          <w:caps w:val="0"/>
          <w:color w:val="505050"/>
          <w:spacing w:val="0"/>
          <w:sz w:val="21"/>
          <w:szCs w:val="21"/>
        </w:rPr>
      </w:pPr>
      <w:r>
        <w:rPr>
          <w:rFonts w:hint="eastAsia" w:ascii="微软雅黑" w:hAnsi="微软雅黑" w:eastAsia="微软雅黑" w:cs="微软雅黑"/>
          <w:b/>
          <w:i w:val="0"/>
          <w:caps w:val="0"/>
          <w:color w:val="505050"/>
          <w:spacing w:val="0"/>
          <w:kern w:val="0"/>
          <w:sz w:val="21"/>
          <w:szCs w:val="21"/>
          <w:lang w:val="en-US" w:eastAsia="zh-CN" w:bidi="ar"/>
        </w:rPr>
        <w:t>国家发展改革委调整招标代理服务收费标准-国家发展改革委[2011]534号</w:t>
      </w:r>
    </w:p>
    <w:p>
      <w:pPr>
        <w:keepNext w:val="0"/>
        <w:keepLines w:val="0"/>
        <w:widowControl/>
        <w:suppressLineNumbers w:val="0"/>
        <w:jc w:val="left"/>
        <w:rPr>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 </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日前，国家发展改革委下发了《关于降低部分建设项目收费标准规范收费行为等有关问题的通知》[2011]534号（以下简称534号通知，见附件一），其中，调整了部分招标代理服务收费标准。</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第一，534号通知调整了《招标代理服务收费管理暂行办法》（[2002]1980号）（以下简称1980号文）的部分招标代理收费标准，增加了中标金额的档次，降低了中标金额5亿元以上的收费标准，调整后的收费标准分别为：5—10亿元为0.035%  ；10—50亿元为0.008%；50—100亿元为0.006%；100亿元以上为0.004% 。同时，设置了货物、服务、工程招标代理服务费的最高限额为（货物）350万、（服务）300万和（工程）450万，调整后的收费标准见附件二。</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第二，534号通知澄清了收费的基准价格“一次招标”（指完成一次招标投标全流程），对于达到招标代理服务费上限的项目 “按各标段中标金额比例计算各标段招标代理服务费”。</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第三，534号通知明确了对于5 亿元以下的招标代理服务费仍执行1980号文件。并针对该文件第三条规定的招标代理服务费包含的内容做了合理的界定和澄清。1980号文第三条规定“本办法所称招标代理服务收费,是指招标代理机构接受招标人委托,从事编制招标文件（包括编制资格预审文件和标底）……”。该文附件的附注1中又表述：“单独提供编制招标文件（有标底的含标底）服务的，可按规定标准的30%计收”。鉴于科学、合理、可行的实际情况，534号通知明确界定“按（1980号文）附件规定计算的收费额为招标代理服务全过程的收费基准价格，但不含工程量清单、工程标底或招标控制价的编制费用”。</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为了合理调整和规范招标代理服务收费标准，中国招标投标协会配合国家发展改革委对招标代理的收费现状、存在问题以及行业诉求做了大量的调查研究，为政府决策提供了可靠的科学依据。</w:t>
      </w:r>
      <w:r>
        <w:rPr>
          <w:rFonts w:hint="eastAsia" w:ascii="微软雅黑" w:hAnsi="微软雅黑" w:eastAsia="微软雅黑" w:cs="微软雅黑"/>
          <w:b w:val="0"/>
          <w:i w:val="0"/>
          <w:caps w:val="0"/>
          <w:color w:val="000000"/>
          <w:spacing w:val="0"/>
          <w:kern w:val="0"/>
          <w:sz w:val="21"/>
          <w:szCs w:val="21"/>
          <w:lang w:val="en-US" w:eastAsia="zh-CN" w:bidi="ar"/>
        </w:rPr>
        <w:br w:type="textWrapping"/>
      </w:r>
      <w:r>
        <w:rPr>
          <w:rFonts w:hint="eastAsia" w:ascii="微软雅黑" w:hAnsi="微软雅黑" w:eastAsia="微软雅黑" w:cs="微软雅黑"/>
          <w:b w:val="0"/>
          <w:i w:val="0"/>
          <w:caps w:val="0"/>
          <w:color w:val="000000"/>
          <w:spacing w:val="0"/>
          <w:kern w:val="0"/>
          <w:sz w:val="21"/>
          <w:szCs w:val="21"/>
          <w:lang w:val="en-US" w:eastAsia="zh-CN" w:bidi="ar"/>
        </w:rPr>
        <w:t>附件一：调整后的招标代理服务收费标准（2011）</w:t>
      </w:r>
    </w:p>
    <w:tbl>
      <w:tblPr>
        <w:tblStyle w:val="6"/>
        <w:tblpPr w:leftFromText="180" w:rightFromText="180" w:vertAnchor="text" w:horzAnchor="page" w:tblpX="2405" w:tblpY="669"/>
        <w:tblOverlap w:val="never"/>
        <w:tblW w:w="6864" w:type="dxa"/>
        <w:tblCellSpacing w:w="0"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2340"/>
        <w:gridCol w:w="1560"/>
        <w:gridCol w:w="1548"/>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2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kern w:val="0"/>
                <w:sz w:val="21"/>
                <w:szCs w:val="21"/>
                <w:lang w:val="en-US" w:eastAsia="zh-CN" w:bidi="ar"/>
              </w:rPr>
            </w:pPr>
            <w:r>
              <w:rPr>
                <w:rFonts w:hint="eastAsia" w:ascii="微软雅黑" w:hAnsi="微软雅黑" w:eastAsia="微软雅黑" w:cs="微软雅黑"/>
                <w:b w:val="0"/>
                <w:i w:val="0"/>
                <w:caps w:val="0"/>
                <w:color w:val="000000"/>
                <w:spacing w:val="0"/>
                <w:kern w:val="0"/>
                <w:sz w:val="21"/>
                <w:szCs w:val="21"/>
                <w:lang w:val="en-US" w:eastAsia="zh-CN" w:bidi="ar"/>
              </w:rPr>
              <w:t>费率</w:t>
            </w:r>
          </w:p>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中标金额</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货物招标</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服务招标</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100万元以下</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1.5%</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1.5%</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100～500万元</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1.1%</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0.8%</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500～1000万元</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 0.8%</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0.45%</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1000～5000万元</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0.5%</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0.25%</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5000万元～1亿元</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0.25%</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0.1%</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1～5亿元</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0.05%</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0.05%</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5～10亿元</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0.035%</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0.035%</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10～50亿元</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0.008%</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0.008%</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50～100亿元</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 0.006%</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0.006%</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blCellSpacing w:w="0" w:type="dxa"/>
        </w:trPr>
        <w:tc>
          <w:tcPr>
            <w:tcW w:w="234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100亿以上</w:t>
            </w:r>
          </w:p>
        </w:tc>
        <w:tc>
          <w:tcPr>
            <w:tcW w:w="1560"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 0.004%</w:t>
            </w:r>
          </w:p>
        </w:tc>
        <w:tc>
          <w:tcPr>
            <w:tcW w:w="1548" w:type="dxa"/>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0.004%</w:t>
            </w:r>
          </w:p>
        </w:tc>
        <w:tc>
          <w:tcPr>
            <w:tcW w:w="1416" w:type="dxa"/>
            <w:tcBorders>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lang w:val="en-US" w:eastAsia="zh-CN" w:bidi="ar"/>
              </w:rPr>
              <w:t>0.004%</w:t>
            </w:r>
          </w:p>
        </w:tc>
      </w:tr>
    </w:tbl>
    <w:p>
      <w:pPr>
        <w:keepNext w:val="0"/>
        <w:keepLines w:val="0"/>
        <w:widowControl/>
        <w:suppressLineNumbers w:val="0"/>
        <w:jc w:val="left"/>
        <w:rPr>
          <w:sz w:val="21"/>
          <w:szCs w:val="21"/>
        </w:rPr>
      </w:pPr>
    </w:p>
    <w:p>
      <w:pPr>
        <w:rPr>
          <w:sz w:val="21"/>
          <w:szCs w:val="21"/>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rPr>
          <w:rFonts w:asciiTheme="minorHAnsi" w:hAnsiTheme="minorHAnsi" w:eastAsiaTheme="minorEastAsia" w:cstheme="minorBidi"/>
          <w:kern w:val="2"/>
          <w:sz w:val="21"/>
          <w:szCs w:val="21"/>
          <w:lang w:val="en-US" w:eastAsia="zh-CN" w:bidi="ar-SA"/>
        </w:rPr>
      </w:pPr>
    </w:p>
    <w:p>
      <w:pPr>
        <w:jc w:val="center"/>
        <w:rPr>
          <w:rFonts w:asciiTheme="minorHAnsi" w:hAnsiTheme="minorHAnsi" w:eastAsiaTheme="minorEastAsia" w:cstheme="minorBidi"/>
          <w:kern w:val="2"/>
          <w:sz w:val="21"/>
          <w:szCs w:val="21"/>
          <w:lang w:val="en-US" w:eastAsia="zh-CN" w:bidi="ar-SA"/>
        </w:rPr>
      </w:pPr>
    </w:p>
    <w:p>
      <w:pPr>
        <w:jc w:val="center"/>
        <w:rPr>
          <w:rFonts w:asciiTheme="minorHAnsi" w:hAnsiTheme="minorHAnsi" w:eastAsiaTheme="minorEastAsia" w:cstheme="minorBidi"/>
          <w:kern w:val="2"/>
          <w:sz w:val="21"/>
          <w:szCs w:val="21"/>
          <w:lang w:val="en-US" w:eastAsia="zh-CN" w:bidi="ar-SA"/>
        </w:rPr>
      </w:pPr>
    </w:p>
    <w:p>
      <w:pPr>
        <w:jc w:val="center"/>
        <w:rPr>
          <w:rFonts w:asciiTheme="minorHAnsi" w:hAnsiTheme="minorHAnsi" w:eastAsiaTheme="minorEastAsia" w:cstheme="minorBidi"/>
          <w:kern w:val="2"/>
          <w:sz w:val="21"/>
          <w:szCs w:val="21"/>
          <w:lang w:val="en-US" w:eastAsia="zh-CN" w:bidi="ar-SA"/>
        </w:rPr>
      </w:pPr>
    </w:p>
    <w:p>
      <w:pPr>
        <w:jc w:val="center"/>
        <w:rPr>
          <w:rFonts w:asciiTheme="minorHAnsi" w:hAnsiTheme="minorHAnsi" w:eastAsiaTheme="minorEastAsia" w:cstheme="minorBidi"/>
          <w:kern w:val="2"/>
          <w:sz w:val="21"/>
          <w:szCs w:val="21"/>
          <w:lang w:val="en-US" w:eastAsia="zh-CN" w:bidi="ar-SA"/>
        </w:rPr>
      </w:pPr>
    </w:p>
    <w:p>
      <w:pPr>
        <w:jc w:val="center"/>
        <w:rPr>
          <w:rFonts w:asciiTheme="minorHAnsi" w:hAnsiTheme="minorHAnsi" w:eastAsiaTheme="minorEastAsia" w:cstheme="minorBidi"/>
          <w:kern w:val="2"/>
          <w:sz w:val="21"/>
          <w:szCs w:val="21"/>
          <w:lang w:val="en-US" w:eastAsia="zh-CN" w:bidi="ar-SA"/>
        </w:rPr>
      </w:pPr>
    </w:p>
    <w:p>
      <w:pPr>
        <w:jc w:val="center"/>
        <w:rPr>
          <w:rFonts w:asciiTheme="minorHAnsi" w:hAnsiTheme="minorHAnsi" w:eastAsiaTheme="minorEastAsia" w:cstheme="minorBidi"/>
          <w:kern w:val="2"/>
          <w:sz w:val="21"/>
          <w:szCs w:val="21"/>
          <w:lang w:val="en-US" w:eastAsia="zh-CN" w:bidi="ar-SA"/>
        </w:rPr>
      </w:pPr>
    </w:p>
    <w:p>
      <w:pPr>
        <w:jc w:val="center"/>
        <w:rPr>
          <w:rFonts w:asciiTheme="minorHAnsi" w:hAnsiTheme="minorHAnsi" w:eastAsiaTheme="minorEastAsia" w:cstheme="minorBidi"/>
          <w:kern w:val="2"/>
          <w:sz w:val="21"/>
          <w:szCs w:val="21"/>
          <w:lang w:val="en-US" w:eastAsia="zh-CN" w:bidi="ar-SA"/>
        </w:rPr>
      </w:pPr>
    </w:p>
    <w:p>
      <w:pPr>
        <w:jc w:val="center"/>
        <w:rPr>
          <w:rFonts w:asciiTheme="minorHAnsi" w:hAnsiTheme="minorHAnsi" w:eastAsiaTheme="minorEastAsia" w:cstheme="minorBidi"/>
          <w:kern w:val="2"/>
          <w:sz w:val="21"/>
          <w:szCs w:val="21"/>
          <w:lang w:val="en-US" w:eastAsia="zh-CN" w:bidi="ar-SA"/>
        </w:rPr>
      </w:pPr>
    </w:p>
    <w:p>
      <w:pPr>
        <w:jc w:val="center"/>
        <w:rPr>
          <w:rFonts w:asciiTheme="minorHAnsi" w:hAnsiTheme="minorHAnsi" w:eastAsiaTheme="minorEastAsia" w:cstheme="minorBidi"/>
          <w:kern w:val="2"/>
          <w:sz w:val="21"/>
          <w:szCs w:val="21"/>
          <w:lang w:val="en-US" w:eastAsia="zh-CN" w:bidi="ar-SA"/>
        </w:rPr>
      </w:pPr>
      <w:bookmarkStart w:id="0" w:name="_GoBack"/>
      <w:bookmarkEnd w:id="0"/>
    </w:p>
    <w:p>
      <w:pPr>
        <w:jc w:val="center"/>
        <w:rPr>
          <w:rFonts w:asciiTheme="minorHAnsi" w:hAnsiTheme="minorHAnsi" w:eastAsiaTheme="minorEastAsia" w:cstheme="minorBidi"/>
          <w:kern w:val="2"/>
          <w:sz w:val="21"/>
          <w:szCs w:val="21"/>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注： 1 、招标代理服务收费按差额定率累进法计算。例如：某工程招标代理业务中标金额为 6000 万元，计算招标代理服务收费额如下：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100 万元 ×l.0 %= 1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( 500 - 100 )万元 ×</w:t>
      </w:r>
      <w:r>
        <w:rPr>
          <w:rFonts w:hint="eastAsia" w:ascii="宋体" w:hAnsi="宋体" w:eastAsia="宋体" w:cs="宋体"/>
          <w:b w:val="0"/>
          <w:i w:val="0"/>
          <w:caps w:val="0"/>
          <w:color w:val="666666"/>
          <w:spacing w:val="0"/>
          <w:sz w:val="21"/>
          <w:szCs w:val="21"/>
          <w:lang w:val="en-US" w:eastAsia="zh-CN"/>
        </w:rPr>
        <w:t>0</w:t>
      </w:r>
      <w:r>
        <w:rPr>
          <w:rFonts w:hint="eastAsia" w:ascii="宋体" w:hAnsi="宋体" w:eastAsia="宋体" w:cs="宋体"/>
          <w:b w:val="0"/>
          <w:i w:val="0"/>
          <w:caps w:val="0"/>
          <w:color w:val="666666"/>
          <w:spacing w:val="0"/>
          <w:sz w:val="21"/>
          <w:szCs w:val="21"/>
        </w:rPr>
        <w:t>.7 %= 2.8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( 1000-500 )万元 ×</w:t>
      </w:r>
      <w:r>
        <w:rPr>
          <w:rFonts w:hint="eastAsia" w:ascii="宋体" w:hAnsi="宋体" w:eastAsia="宋体" w:cs="宋体"/>
          <w:b w:val="0"/>
          <w:i w:val="0"/>
          <w:caps w:val="0"/>
          <w:color w:val="666666"/>
          <w:spacing w:val="0"/>
          <w:sz w:val="21"/>
          <w:szCs w:val="21"/>
          <w:lang w:val="en-US" w:eastAsia="zh-CN"/>
        </w:rPr>
        <w:t>0</w:t>
      </w:r>
      <w:r>
        <w:rPr>
          <w:rFonts w:hint="eastAsia" w:ascii="宋体" w:hAnsi="宋体" w:eastAsia="宋体" w:cs="宋体"/>
          <w:b w:val="0"/>
          <w:i w:val="0"/>
          <w:caps w:val="0"/>
          <w:color w:val="666666"/>
          <w:spacing w:val="0"/>
          <w:sz w:val="21"/>
          <w:szCs w:val="21"/>
        </w:rPr>
        <w:t>.55 %= 2.75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( 5000 - 1000 )万元 ×</w:t>
      </w:r>
      <w:r>
        <w:rPr>
          <w:rFonts w:hint="eastAsia" w:ascii="宋体" w:hAnsi="宋体" w:eastAsia="宋体" w:cs="宋体"/>
          <w:b w:val="0"/>
          <w:i w:val="0"/>
          <w:caps w:val="0"/>
          <w:color w:val="666666"/>
          <w:spacing w:val="0"/>
          <w:sz w:val="21"/>
          <w:szCs w:val="21"/>
          <w:lang w:val="en-US" w:eastAsia="zh-CN"/>
        </w:rPr>
        <w:t>0</w:t>
      </w:r>
      <w:r>
        <w:rPr>
          <w:rFonts w:hint="eastAsia" w:ascii="宋体" w:hAnsi="宋体" w:eastAsia="宋体" w:cs="宋体"/>
          <w:b w:val="0"/>
          <w:i w:val="0"/>
          <w:caps w:val="0"/>
          <w:color w:val="666666"/>
          <w:spacing w:val="0"/>
          <w:sz w:val="21"/>
          <w:szCs w:val="21"/>
        </w:rPr>
        <w:t>.35 %= 14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( 6000 - 5000 )万元 ×</w:t>
      </w:r>
      <w:r>
        <w:rPr>
          <w:rFonts w:hint="eastAsia" w:ascii="宋体" w:hAnsi="宋体" w:eastAsia="宋体" w:cs="宋体"/>
          <w:b w:val="0"/>
          <w:i w:val="0"/>
          <w:caps w:val="0"/>
          <w:color w:val="666666"/>
          <w:spacing w:val="0"/>
          <w:sz w:val="21"/>
          <w:szCs w:val="21"/>
          <w:lang w:val="en-US" w:eastAsia="zh-CN"/>
        </w:rPr>
        <w:t>0</w:t>
      </w:r>
      <w:r>
        <w:rPr>
          <w:rFonts w:hint="eastAsia" w:ascii="宋体" w:hAnsi="宋体" w:eastAsia="宋体" w:cs="宋体"/>
          <w:b w:val="0"/>
          <w:i w:val="0"/>
          <w:caps w:val="0"/>
          <w:color w:val="666666"/>
          <w:spacing w:val="0"/>
          <w:sz w:val="21"/>
          <w:szCs w:val="21"/>
        </w:rPr>
        <w:t>.2 %= 2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rFonts w:hint="eastAsia" w:ascii="宋体" w:hAnsi="宋体" w:eastAsia="宋体" w:cs="宋体"/>
          <w:b w:val="0"/>
          <w:i w:val="0"/>
          <w:caps w:val="0"/>
          <w:color w:val="666666"/>
          <w:spacing w:val="0"/>
          <w:sz w:val="21"/>
          <w:szCs w:val="21"/>
        </w:rPr>
      </w:pPr>
      <w:r>
        <w:rPr>
          <w:rFonts w:hint="eastAsia" w:ascii="宋体" w:hAnsi="宋体" w:eastAsia="宋体" w:cs="宋体"/>
          <w:b w:val="0"/>
          <w:i w:val="0"/>
          <w:caps w:val="0"/>
          <w:color w:val="666666"/>
          <w:spacing w:val="0"/>
          <w:sz w:val="21"/>
          <w:szCs w:val="21"/>
        </w:rPr>
        <w:t>　　合计收费= 1 + 2.8 + 2.75 + 14 + 2 = 22.55 (万元)</w:t>
      </w:r>
    </w:p>
    <w:p>
      <w:pPr>
        <w:jc w:val="center"/>
        <w:rPr>
          <w:rFonts w:asciiTheme="minorHAnsi" w:hAnsiTheme="minorHAnsi" w:eastAsiaTheme="minorEastAsia" w:cstheme="minorBidi"/>
          <w:kern w:val="2"/>
          <w:sz w:val="21"/>
          <w:szCs w:val="21"/>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B6C04"/>
    <w:rsid w:val="0BF36FF7"/>
    <w:rsid w:val="19514AA8"/>
    <w:rsid w:val="1F041D55"/>
    <w:rsid w:val="267C7492"/>
    <w:rsid w:val="269D284D"/>
    <w:rsid w:val="2FD0410C"/>
    <w:rsid w:val="5569394C"/>
    <w:rsid w:val="6A8A2F80"/>
    <w:rsid w:val="6F9B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2471</Words>
  <Characters>2851</Characters>
  <Lines>0</Lines>
  <Paragraphs>0</Paragraphs>
  <TotalTime>12</TotalTime>
  <ScaleCrop>false</ScaleCrop>
  <LinksUpToDate>false</LinksUpToDate>
  <CharactersWithSpaces>3123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2018-07-15T02:17:00Z</dcterms:created>
  <dc:creator>Administrator</dc:creator>
  <cp:lastModifiedBy>Tiffany</cp:lastModifiedBy>
  <dcterms:modified xsi:type="dcterms:W3CDTF">2018-08-03T09:49:59Z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